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A8" w:rsidRPr="0000131B" w:rsidRDefault="00F235A8" w:rsidP="00F235A8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b w:val="0"/>
          <w:bCs w:val="0"/>
          <w:szCs w:val="20"/>
          <w:rtl/>
        </w:rPr>
        <w:t>576565</w:t>
      </w:r>
      <w:bookmarkEnd w:id="0"/>
    </w:p>
    <w:p w:rsidR="00F235A8" w:rsidRPr="00DB7060" w:rsidRDefault="00F235A8" w:rsidP="00F235A8">
      <w:pPr>
        <w:pStyle w:val="HeadHatzaotHok"/>
        <w:rPr>
          <w:sz w:val="28"/>
          <w:szCs w:val="28"/>
          <w:rtl/>
        </w:rPr>
      </w:pPr>
      <w:r w:rsidRPr="00DB7060">
        <w:rPr>
          <w:sz w:val="28"/>
          <w:szCs w:val="28"/>
          <w:rtl/>
        </w:rPr>
        <w:t xml:space="preserve">הכנסת </w:t>
      </w:r>
      <w:bookmarkStart w:id="1" w:name="LGS_Knesset_Num"/>
      <w:r>
        <w:rPr>
          <w:sz w:val="28"/>
          <w:szCs w:val="28"/>
          <w:rtl/>
        </w:rPr>
        <w:t>העשרים</w:t>
      </w:r>
      <w:bookmarkEnd w:id="1"/>
    </w:p>
    <w:p w:rsidR="00F235A8" w:rsidRPr="00F67051" w:rsidRDefault="00F235A8" w:rsidP="00F235A8">
      <w:pPr>
        <w:rPr>
          <w:rFonts w:cs="David"/>
          <w:b/>
          <w:bCs/>
          <w:sz w:val="26"/>
          <w:szCs w:val="26"/>
          <w:rtl/>
        </w:rPr>
      </w:pPr>
    </w:p>
    <w:p w:rsidR="00F235A8" w:rsidRPr="00CF1AA2" w:rsidRDefault="00F235A8" w:rsidP="00F252D0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rFonts w:hint="cs"/>
          <w:b/>
          <w:bCs/>
          <w:rtl/>
        </w:rPr>
        <w:t>יוזמים</w:t>
      </w:r>
      <w:r>
        <w:rPr>
          <w:b/>
          <w:bCs/>
          <w:rtl/>
        </w:rPr>
        <w:t xml:space="preserve">:      </w:t>
      </w:r>
      <w:r>
        <w:rPr>
          <w:rFonts w:hint="cs"/>
          <w:b/>
          <w:bCs/>
          <w:rtl/>
        </w:rPr>
        <w:t>חברי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הכנסת</w:t>
      </w:r>
      <w:bookmarkEnd w:id="2"/>
      <w:r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חמד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עמאר</w:t>
      </w:r>
      <w:r>
        <w:br/>
      </w:r>
      <w:r>
        <w:rPr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אביגדור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ליברמן</w:t>
      </w:r>
      <w:r>
        <w:br/>
      </w:r>
      <w:r>
        <w:rPr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רוברט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אילטוב</w:t>
      </w:r>
      <w:r>
        <w:br/>
      </w:r>
      <w:r>
        <w:rPr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סופה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לנדבר</w:t>
      </w:r>
      <w:r>
        <w:br/>
      </w:r>
      <w:r>
        <w:rPr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אורלי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לוי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אבקסיס</w:t>
      </w:r>
      <w:r>
        <w:br/>
      </w:r>
      <w:r>
        <w:rPr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עודד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פורר</w:t>
      </w:r>
      <w:r>
        <w:br/>
      </w:r>
      <w:r>
        <w:rPr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ישראל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אייכלר</w:t>
      </w:r>
      <w:r>
        <w:br/>
      </w:r>
      <w:r>
        <w:rPr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יואב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בן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צור</w:t>
      </w:r>
      <w:r>
        <w:br/>
      </w:r>
      <w:r>
        <w:rPr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אמיר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אוחנה</w:t>
      </w:r>
      <w:r>
        <w:br/>
      </w:r>
      <w:r>
        <w:rPr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קארין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אלהרר</w:t>
      </w:r>
      <w:r>
        <w:br/>
      </w:r>
      <w:r>
        <w:rPr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מרדכי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יוגב</w:t>
      </w:r>
      <w:r>
        <w:br/>
      </w:r>
      <w:r>
        <w:rPr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אורי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מקלב</w:t>
      </w:r>
      <w:r>
        <w:br/>
      </w:r>
      <w:r>
        <w:rPr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אלאלוף</w:t>
      </w:r>
      <w:bookmarkStart w:id="4" w:name="LGS_Join_List"/>
      <w:bookmarkEnd w:id="3"/>
      <w:r>
        <w:rPr>
          <w:rtl/>
        </w:rPr>
        <w:t xml:space="preserve"> </w:t>
      </w:r>
      <w:bookmarkEnd w:id="4"/>
      <w:r w:rsidRPr="00CF1AA2">
        <w:rPr>
          <w:rtl/>
        </w:rPr>
        <w:tab/>
      </w:r>
      <w:bookmarkStart w:id="5" w:name="LGS_PM_NamesJoin"/>
      <w:r>
        <w:rPr>
          <w:rtl/>
        </w:rPr>
        <w:t xml:space="preserve"> </w:t>
      </w:r>
      <w:bookmarkEnd w:id="5"/>
    </w:p>
    <w:p w:rsidR="00F235A8" w:rsidRPr="00904591" w:rsidRDefault="00F235A8" w:rsidP="00F235A8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______________________________________________</w:t>
      </w:r>
      <w:r w:rsidRPr="00E06736">
        <w:tab/>
      </w:r>
      <w:r w:rsidRPr="00E06736">
        <w:rPr>
          <w:rtl/>
        </w:rPr>
        <w:tab/>
      </w:r>
      <w:r w:rsidRPr="00E06736">
        <w:rPr>
          <w:rtl/>
        </w:rPr>
        <w:tab/>
      </w:r>
      <w:r w:rsidRPr="00E06736">
        <w:rPr>
          <w:rtl/>
        </w:rPr>
        <w:tab/>
      </w:r>
      <w:r>
        <w:t xml:space="preserve">           </w:t>
      </w:r>
    </w:p>
    <w:p w:rsidR="00F235A8" w:rsidRPr="00E06736" w:rsidRDefault="00F235A8" w:rsidP="00F235A8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 </w:t>
      </w:r>
      <w:bookmarkStart w:id="6" w:name="Private_Number"/>
      <w:r>
        <w:rPr>
          <w:rFonts w:hint="cs"/>
          <w:rtl/>
        </w:rPr>
        <w:t>פ</w:t>
      </w:r>
      <w:r>
        <w:rPr>
          <w:rtl/>
        </w:rPr>
        <w:t>/2817/20</w:t>
      </w:r>
      <w:bookmarkEnd w:id="6"/>
    </w:p>
    <w:p w:rsidR="00F235A8" w:rsidRDefault="00F235A8" w:rsidP="00F235A8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:rsidR="00F235A8" w:rsidRPr="00F67051" w:rsidRDefault="00F235A8" w:rsidP="00F252D0">
      <w:pPr>
        <w:pStyle w:val="HeadHatzaotHok"/>
        <w:spacing w:line="240" w:lineRule="auto"/>
      </w:pPr>
      <w:bookmarkStart w:id="7" w:name="LGS_Subject"/>
      <w:bookmarkStart w:id="8" w:name="_GoBack"/>
      <w:r>
        <w:rPr>
          <w:rtl/>
        </w:rPr>
        <w:t xml:space="preserve">הצעת חוק לתיקון פקודת התעבורה (חובת התקנת מצלמות באוטובוס), </w:t>
      </w:r>
      <w:bookmarkEnd w:id="8"/>
      <w:r>
        <w:rPr>
          <w:rtl/>
        </w:rPr>
        <w:t>התשע"ו</w:t>
      </w:r>
      <w:r w:rsidR="00672DEA">
        <w:rPr>
          <w:rtl/>
        </w:rPr>
        <w:t>–</w:t>
      </w:r>
      <w:r>
        <w:rPr>
          <w:rtl/>
        </w:rPr>
        <w:t>2016</w:t>
      </w:r>
      <w:bookmarkEnd w:id="7"/>
    </w:p>
    <w:p w:rsidR="00F235A8" w:rsidRDefault="00F235A8" w:rsidP="00F252D0">
      <w:pPr>
        <w:pStyle w:val="HeadDivreiHesber"/>
        <w:spacing w:before="0" w:after="0" w:line="240" w:lineRule="auto"/>
        <w:rPr>
          <w:rtl/>
        </w:rPr>
      </w:pPr>
    </w:p>
    <w:tbl>
      <w:tblPr>
        <w:bidiVisual/>
        <w:tblW w:w="9637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624"/>
        <w:gridCol w:w="624"/>
        <w:gridCol w:w="624"/>
        <w:gridCol w:w="624"/>
        <w:gridCol w:w="624"/>
        <w:gridCol w:w="624"/>
        <w:gridCol w:w="4024"/>
      </w:tblGrid>
      <w:tr w:rsidR="00F235A8" w:rsidTr="00156293">
        <w:trPr>
          <w:cantSplit/>
        </w:trPr>
        <w:tc>
          <w:tcPr>
            <w:tcW w:w="1869" w:type="dxa"/>
          </w:tcPr>
          <w:p w:rsidR="00F235A8" w:rsidRPr="00DF2015" w:rsidRDefault="00F235A8" w:rsidP="00FA3E68">
            <w:pPr>
              <w:pStyle w:val="TableSideHeading"/>
              <w:ind w:right="0"/>
            </w:pPr>
            <w:r>
              <w:rPr>
                <w:rtl/>
              </w:rPr>
              <w:t>הוספת סעיף 65א1</w:t>
            </w:r>
          </w:p>
        </w:tc>
        <w:tc>
          <w:tcPr>
            <w:tcW w:w="624" w:type="dxa"/>
          </w:tcPr>
          <w:p w:rsidR="00F235A8" w:rsidRPr="00B2366E" w:rsidRDefault="00F235A8" w:rsidP="00FA3E68">
            <w:pPr>
              <w:pStyle w:val="TableText"/>
              <w:ind w:right="0"/>
              <w:jc w:val="both"/>
            </w:pPr>
            <w:r>
              <w:rPr>
                <w:rtl/>
              </w:rPr>
              <w:t>1.</w:t>
            </w:r>
          </w:p>
        </w:tc>
        <w:tc>
          <w:tcPr>
            <w:tcW w:w="7144" w:type="dxa"/>
            <w:gridSpan w:val="6"/>
          </w:tcPr>
          <w:p w:rsidR="00F235A8" w:rsidRPr="00B2366E" w:rsidRDefault="00F235A8" w:rsidP="005356C3">
            <w:pPr>
              <w:pStyle w:val="TableBlock"/>
            </w:pPr>
            <w:r w:rsidRPr="00B2366E">
              <w:rPr>
                <w:rtl/>
              </w:rPr>
              <w:t>בפקודת התעבורה</w:t>
            </w:r>
            <w:r w:rsidRPr="00F252D0">
              <w:rPr>
                <w:szCs w:val="20"/>
                <w:rtl/>
              </w:rPr>
              <w:footnoteReference w:id="2"/>
            </w:r>
            <w:r w:rsidRPr="00B2366E">
              <w:rPr>
                <w:rtl/>
              </w:rPr>
              <w:t xml:space="preserve"> (להלן</w:t>
            </w:r>
            <w:r w:rsidR="00156293">
              <w:rPr>
                <w:rtl/>
              </w:rPr>
              <w:t xml:space="preserve"> – </w:t>
            </w:r>
            <w:r w:rsidRPr="00B2366E">
              <w:rPr>
                <w:rtl/>
              </w:rPr>
              <w:t>הפקודה), אחרי סעיף 65א יבוא:</w:t>
            </w:r>
          </w:p>
        </w:tc>
      </w:tr>
      <w:tr w:rsidR="00F235A8" w:rsidTr="00156293">
        <w:trPr>
          <w:cantSplit/>
          <w:trHeight w:val="60"/>
        </w:trPr>
        <w:tc>
          <w:tcPr>
            <w:tcW w:w="1869" w:type="dxa"/>
          </w:tcPr>
          <w:p w:rsidR="00F235A8" w:rsidRDefault="00F235A8" w:rsidP="00FA3E68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F235A8" w:rsidRDefault="00F235A8" w:rsidP="00FA3E68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:rsidR="00F235A8" w:rsidRDefault="00156293" w:rsidP="00FA3E68">
            <w:pPr>
              <w:pStyle w:val="TableInnerSideHeading"/>
            </w:pPr>
            <w:r>
              <w:rPr>
                <w:rtl/>
              </w:rPr>
              <w:t>"</w:t>
            </w:r>
            <w:r w:rsidR="00F235A8">
              <w:rPr>
                <w:rtl/>
              </w:rPr>
              <w:t>התקנת מצלמות באוטובוס</w:t>
            </w:r>
          </w:p>
        </w:tc>
        <w:tc>
          <w:tcPr>
            <w:tcW w:w="624" w:type="dxa"/>
          </w:tcPr>
          <w:p w:rsidR="00F235A8" w:rsidRDefault="00337B06" w:rsidP="005356C3">
            <w:pPr>
              <w:pStyle w:val="TableText"/>
            </w:pPr>
            <w:r>
              <w:rPr>
                <w:rtl/>
              </w:rPr>
              <w:t>65א1.</w:t>
            </w:r>
          </w:p>
        </w:tc>
        <w:tc>
          <w:tcPr>
            <w:tcW w:w="4648" w:type="dxa"/>
            <w:gridSpan w:val="2"/>
          </w:tcPr>
          <w:p w:rsidR="00F235A8" w:rsidRDefault="00337B06" w:rsidP="00156293">
            <w:pPr>
              <w:pStyle w:val="TableBlock"/>
            </w:pPr>
            <w:r>
              <w:rPr>
                <w:rtl/>
              </w:rPr>
              <w:t>(א)</w:t>
            </w:r>
            <w:r>
              <w:rPr>
                <w:rtl/>
              </w:rPr>
              <w:tab/>
            </w:r>
            <w:r w:rsidR="00156293">
              <w:rPr>
                <w:rtl/>
              </w:rPr>
              <w:t xml:space="preserve">רשות הרישוי </w:t>
            </w:r>
            <w:r w:rsidR="00F235A8">
              <w:rPr>
                <w:rtl/>
              </w:rPr>
              <w:t xml:space="preserve">לא </w:t>
            </w:r>
            <w:r w:rsidR="00156293">
              <w:rPr>
                <w:rtl/>
              </w:rPr>
              <w:t>תרשום</w:t>
            </w:r>
            <w:r w:rsidR="00F235A8">
              <w:rPr>
                <w:rtl/>
              </w:rPr>
              <w:t xml:space="preserve"> אוטובוס</w:t>
            </w:r>
            <w:r w:rsidR="00156293">
              <w:rPr>
                <w:rtl/>
              </w:rPr>
              <w:t xml:space="preserve">, ולא תיתן לגביו רישיון רכב או תחדשו </w:t>
            </w:r>
            <w:r w:rsidR="00F235A8">
              <w:rPr>
                <w:rtl/>
              </w:rPr>
              <w:t>לפי הוראות פקודה זו, אלא אם כן מותקנות ב</w:t>
            </w:r>
            <w:r w:rsidR="005356C3">
              <w:rPr>
                <w:rtl/>
              </w:rPr>
              <w:t>אוטובוס</w:t>
            </w:r>
            <w:r w:rsidR="00F235A8">
              <w:rPr>
                <w:rtl/>
              </w:rPr>
              <w:t xml:space="preserve"> מצלמות כמפורט להלן</w:t>
            </w:r>
            <w:r w:rsidR="00910EC7">
              <w:rPr>
                <w:rtl/>
              </w:rPr>
              <w:t>:</w:t>
            </w:r>
          </w:p>
        </w:tc>
      </w:tr>
      <w:tr w:rsidR="00337B06" w:rsidTr="005356C3">
        <w:trPr>
          <w:cantSplit/>
          <w:trHeight w:val="60"/>
        </w:trPr>
        <w:tc>
          <w:tcPr>
            <w:tcW w:w="1869" w:type="dxa"/>
          </w:tcPr>
          <w:p w:rsidR="00337B06" w:rsidRDefault="00337B06">
            <w:pPr>
              <w:pStyle w:val="TableSideHeading"/>
            </w:pPr>
          </w:p>
        </w:tc>
        <w:tc>
          <w:tcPr>
            <w:tcW w:w="624" w:type="dxa"/>
          </w:tcPr>
          <w:p w:rsidR="00337B06" w:rsidRDefault="00337B06">
            <w:pPr>
              <w:pStyle w:val="TableText"/>
            </w:pPr>
          </w:p>
        </w:tc>
        <w:tc>
          <w:tcPr>
            <w:tcW w:w="624" w:type="dxa"/>
          </w:tcPr>
          <w:p w:rsidR="00337B06" w:rsidRDefault="00337B06">
            <w:pPr>
              <w:pStyle w:val="TableText"/>
            </w:pPr>
          </w:p>
        </w:tc>
        <w:tc>
          <w:tcPr>
            <w:tcW w:w="624" w:type="dxa"/>
          </w:tcPr>
          <w:p w:rsidR="00337B06" w:rsidRDefault="00337B06">
            <w:pPr>
              <w:pStyle w:val="TableText"/>
            </w:pPr>
          </w:p>
        </w:tc>
        <w:tc>
          <w:tcPr>
            <w:tcW w:w="624" w:type="dxa"/>
          </w:tcPr>
          <w:p w:rsidR="00337B06" w:rsidRDefault="00337B06">
            <w:pPr>
              <w:pStyle w:val="TableText"/>
            </w:pPr>
          </w:p>
        </w:tc>
        <w:tc>
          <w:tcPr>
            <w:tcW w:w="624" w:type="dxa"/>
          </w:tcPr>
          <w:p w:rsidR="00337B06" w:rsidRDefault="00337B06">
            <w:pPr>
              <w:pStyle w:val="TableText"/>
            </w:pPr>
          </w:p>
        </w:tc>
        <w:tc>
          <w:tcPr>
            <w:tcW w:w="624" w:type="dxa"/>
          </w:tcPr>
          <w:p w:rsidR="00337B06" w:rsidRDefault="00337B06">
            <w:pPr>
              <w:pStyle w:val="TableText"/>
            </w:pPr>
          </w:p>
        </w:tc>
        <w:tc>
          <w:tcPr>
            <w:tcW w:w="4024" w:type="dxa"/>
          </w:tcPr>
          <w:p w:rsidR="00337B06" w:rsidRDefault="00337B06" w:rsidP="005356C3">
            <w:pPr>
              <w:pStyle w:val="TableBlock"/>
            </w:pPr>
            <w:r w:rsidRPr="00910EC7">
              <w:rPr>
                <w:rtl/>
              </w:rPr>
              <w:t>(1)</w:t>
            </w:r>
            <w:r w:rsidRPr="00910EC7">
              <w:rPr>
                <w:rtl/>
              </w:rPr>
              <w:tab/>
              <w:t>מצלמ</w:t>
            </w:r>
            <w:r>
              <w:rPr>
                <w:rtl/>
              </w:rPr>
              <w:t>ת דרך</w:t>
            </w:r>
            <w:r w:rsidR="00156293">
              <w:rPr>
                <w:rtl/>
              </w:rPr>
              <w:t xml:space="preserve"> ש</w:t>
            </w:r>
            <w:r w:rsidRPr="00910EC7">
              <w:rPr>
                <w:rtl/>
              </w:rPr>
              <w:t xml:space="preserve">תותקן בחלקו הקדמי של האוטובוס, ותתעד באמצעות וידיאו את המתרחש בנתיב הנסיעה של האוטובוס ובשני צדדיו; </w:t>
            </w:r>
          </w:p>
        </w:tc>
      </w:tr>
      <w:tr w:rsidR="00337B06" w:rsidTr="005356C3">
        <w:trPr>
          <w:cantSplit/>
          <w:trHeight w:val="60"/>
        </w:trPr>
        <w:tc>
          <w:tcPr>
            <w:tcW w:w="1869" w:type="dxa"/>
          </w:tcPr>
          <w:p w:rsidR="00337B06" w:rsidRDefault="00337B0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337B06" w:rsidRDefault="00337B06" w:rsidP="005356C3">
            <w:pPr>
              <w:pStyle w:val="TableText"/>
            </w:pPr>
          </w:p>
        </w:tc>
        <w:tc>
          <w:tcPr>
            <w:tcW w:w="624" w:type="dxa"/>
          </w:tcPr>
          <w:p w:rsidR="00337B06" w:rsidRDefault="00337B06">
            <w:pPr>
              <w:pStyle w:val="TableText"/>
            </w:pPr>
          </w:p>
        </w:tc>
        <w:tc>
          <w:tcPr>
            <w:tcW w:w="624" w:type="dxa"/>
          </w:tcPr>
          <w:p w:rsidR="00337B06" w:rsidRDefault="00337B06">
            <w:pPr>
              <w:pStyle w:val="TableText"/>
            </w:pPr>
          </w:p>
        </w:tc>
        <w:tc>
          <w:tcPr>
            <w:tcW w:w="624" w:type="dxa"/>
          </w:tcPr>
          <w:p w:rsidR="00337B06" w:rsidRDefault="00337B06">
            <w:pPr>
              <w:pStyle w:val="TableText"/>
            </w:pPr>
          </w:p>
        </w:tc>
        <w:tc>
          <w:tcPr>
            <w:tcW w:w="624" w:type="dxa"/>
          </w:tcPr>
          <w:p w:rsidR="00337B06" w:rsidRDefault="00337B06">
            <w:pPr>
              <w:pStyle w:val="TableText"/>
            </w:pPr>
          </w:p>
        </w:tc>
        <w:tc>
          <w:tcPr>
            <w:tcW w:w="624" w:type="dxa"/>
          </w:tcPr>
          <w:p w:rsidR="00337B06" w:rsidRDefault="00337B06">
            <w:pPr>
              <w:pStyle w:val="TableText"/>
            </w:pPr>
          </w:p>
        </w:tc>
        <w:tc>
          <w:tcPr>
            <w:tcW w:w="4024" w:type="dxa"/>
          </w:tcPr>
          <w:p w:rsidR="00337B06" w:rsidRPr="00910EC7" w:rsidRDefault="00337B06" w:rsidP="005356C3">
            <w:pPr>
              <w:pStyle w:val="TableBlock"/>
              <w:rPr>
                <w:rtl/>
              </w:rPr>
            </w:pPr>
            <w:r>
              <w:rPr>
                <w:rtl/>
              </w:rPr>
              <w:t>(2)</w:t>
            </w:r>
            <w:r>
              <w:rPr>
                <w:rtl/>
              </w:rPr>
              <w:tab/>
            </w:r>
            <w:r w:rsidRPr="00910EC7">
              <w:rPr>
                <w:rtl/>
              </w:rPr>
              <w:t>מצל</w:t>
            </w:r>
            <w:r>
              <w:rPr>
                <w:rtl/>
              </w:rPr>
              <w:t>מה</w:t>
            </w:r>
            <w:r w:rsidR="00156293">
              <w:rPr>
                <w:rtl/>
              </w:rPr>
              <w:t xml:space="preserve"> ש</w:t>
            </w:r>
            <w:r w:rsidRPr="00910EC7">
              <w:rPr>
                <w:rtl/>
              </w:rPr>
              <w:t xml:space="preserve">תותקן בתוך האוטובוס, </w:t>
            </w:r>
            <w:r>
              <w:rPr>
                <w:rtl/>
              </w:rPr>
              <w:t>ותתעד באמצעות וידיאו ושמע</w:t>
            </w:r>
            <w:r w:rsidRPr="00910EC7">
              <w:rPr>
                <w:rtl/>
              </w:rPr>
              <w:t xml:space="preserve"> את המתרחש בתוך האוטובוס</w:t>
            </w:r>
            <w:r w:rsidR="00156293">
              <w:rPr>
                <w:rtl/>
              </w:rPr>
              <w:t>, לרבות פעולות הנהג בזמן הנסיעה.</w:t>
            </w:r>
          </w:p>
        </w:tc>
      </w:tr>
      <w:tr w:rsidR="00156293" w:rsidTr="005356C3">
        <w:trPr>
          <w:cantSplit/>
          <w:trHeight w:val="60"/>
        </w:trPr>
        <w:tc>
          <w:tcPr>
            <w:tcW w:w="1869" w:type="dxa"/>
          </w:tcPr>
          <w:p w:rsidR="00156293" w:rsidRDefault="00156293">
            <w:pPr>
              <w:pStyle w:val="TableSideHeading"/>
            </w:pPr>
          </w:p>
        </w:tc>
        <w:tc>
          <w:tcPr>
            <w:tcW w:w="624" w:type="dxa"/>
          </w:tcPr>
          <w:p w:rsidR="00156293" w:rsidRDefault="00156293">
            <w:pPr>
              <w:pStyle w:val="TableText"/>
            </w:pPr>
          </w:p>
        </w:tc>
        <w:tc>
          <w:tcPr>
            <w:tcW w:w="624" w:type="dxa"/>
          </w:tcPr>
          <w:p w:rsidR="00156293" w:rsidRDefault="00156293">
            <w:pPr>
              <w:pStyle w:val="TableText"/>
            </w:pPr>
          </w:p>
        </w:tc>
        <w:tc>
          <w:tcPr>
            <w:tcW w:w="624" w:type="dxa"/>
          </w:tcPr>
          <w:p w:rsidR="00156293" w:rsidRDefault="00156293">
            <w:pPr>
              <w:pStyle w:val="TableText"/>
            </w:pPr>
          </w:p>
        </w:tc>
        <w:tc>
          <w:tcPr>
            <w:tcW w:w="624" w:type="dxa"/>
          </w:tcPr>
          <w:p w:rsidR="00156293" w:rsidRDefault="00156293">
            <w:pPr>
              <w:pStyle w:val="TableText"/>
            </w:pPr>
          </w:p>
        </w:tc>
        <w:tc>
          <w:tcPr>
            <w:tcW w:w="624" w:type="dxa"/>
          </w:tcPr>
          <w:p w:rsidR="00156293" w:rsidRDefault="00156293">
            <w:pPr>
              <w:pStyle w:val="TableText"/>
            </w:pPr>
          </w:p>
        </w:tc>
        <w:tc>
          <w:tcPr>
            <w:tcW w:w="4648" w:type="dxa"/>
            <w:gridSpan w:val="2"/>
          </w:tcPr>
          <w:p w:rsidR="00156293" w:rsidRDefault="00156293" w:rsidP="005356C3">
            <w:pPr>
              <w:pStyle w:val="TableBlock"/>
            </w:pPr>
            <w:r>
              <w:rPr>
                <w:rtl/>
              </w:rPr>
              <w:t>(ב)</w:t>
            </w:r>
            <w:r>
              <w:rPr>
                <w:rtl/>
              </w:rPr>
              <w:tab/>
              <w:t xml:space="preserve">מצלמות כאמור בסעיף קטן </w:t>
            </w:r>
            <w:r w:rsidR="005356C3">
              <w:rPr>
                <w:rtl/>
              </w:rPr>
              <w:t xml:space="preserve">(א) יאפשרו להפיק </w:t>
            </w:r>
            <w:r>
              <w:rPr>
                <w:rtl/>
              </w:rPr>
              <w:t xml:space="preserve">תיעוד </w:t>
            </w:r>
            <w:r w:rsidR="005356C3">
              <w:rPr>
                <w:rtl/>
              </w:rPr>
              <w:t>מצולם של 48</w:t>
            </w:r>
            <w:r>
              <w:rPr>
                <w:rtl/>
              </w:rPr>
              <w:t xml:space="preserve"> השעות שקדמו למועד ההפקה.</w:t>
            </w:r>
          </w:p>
        </w:tc>
      </w:tr>
      <w:tr w:rsidR="00156293" w:rsidTr="005356C3">
        <w:trPr>
          <w:cantSplit/>
          <w:trHeight w:val="60"/>
        </w:trPr>
        <w:tc>
          <w:tcPr>
            <w:tcW w:w="1869" w:type="dxa"/>
          </w:tcPr>
          <w:p w:rsidR="00156293" w:rsidRDefault="00156293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156293" w:rsidRDefault="00156293" w:rsidP="005356C3">
            <w:pPr>
              <w:pStyle w:val="TableText"/>
            </w:pPr>
          </w:p>
        </w:tc>
        <w:tc>
          <w:tcPr>
            <w:tcW w:w="624" w:type="dxa"/>
          </w:tcPr>
          <w:p w:rsidR="00156293" w:rsidRDefault="00156293">
            <w:pPr>
              <w:pStyle w:val="TableText"/>
            </w:pPr>
          </w:p>
        </w:tc>
        <w:tc>
          <w:tcPr>
            <w:tcW w:w="624" w:type="dxa"/>
          </w:tcPr>
          <w:p w:rsidR="00156293" w:rsidRDefault="00156293">
            <w:pPr>
              <w:pStyle w:val="TableText"/>
            </w:pPr>
          </w:p>
        </w:tc>
        <w:tc>
          <w:tcPr>
            <w:tcW w:w="624" w:type="dxa"/>
          </w:tcPr>
          <w:p w:rsidR="00156293" w:rsidRDefault="00156293">
            <w:pPr>
              <w:pStyle w:val="TableText"/>
            </w:pPr>
          </w:p>
        </w:tc>
        <w:tc>
          <w:tcPr>
            <w:tcW w:w="624" w:type="dxa"/>
          </w:tcPr>
          <w:p w:rsidR="00156293" w:rsidRDefault="00156293">
            <w:pPr>
              <w:pStyle w:val="TableText"/>
            </w:pPr>
          </w:p>
        </w:tc>
        <w:tc>
          <w:tcPr>
            <w:tcW w:w="4648" w:type="dxa"/>
            <w:gridSpan w:val="2"/>
          </w:tcPr>
          <w:p w:rsidR="00156293" w:rsidRDefault="00156293" w:rsidP="005356C3">
            <w:pPr>
              <w:pStyle w:val="TableBlock"/>
              <w:rPr>
                <w:rtl/>
              </w:rPr>
            </w:pPr>
            <w:r>
              <w:rPr>
                <w:rtl/>
              </w:rPr>
              <w:t>(ג)</w:t>
            </w:r>
            <w:r>
              <w:rPr>
                <w:rtl/>
              </w:rPr>
              <w:tab/>
            </w:r>
            <w:r w:rsidRPr="00337B06">
              <w:rPr>
                <w:rtl/>
              </w:rPr>
              <w:t>לא ינהג אדם באוטובוס, ובעל האוטובוס או מי שהאוטובוס נמצא בשליטתו לא ירש</w:t>
            </w:r>
            <w:r>
              <w:rPr>
                <w:rtl/>
              </w:rPr>
              <w:t>ה</w:t>
            </w:r>
            <w:r w:rsidRPr="00337B06">
              <w:rPr>
                <w:rtl/>
              </w:rPr>
              <w:t xml:space="preserve"> לאחר לנהוג בו, אלא אם כן מותקנות בו מצלמות כאמור בסעיף קטן</w:t>
            </w:r>
            <w:r>
              <w:rPr>
                <w:rtl/>
              </w:rPr>
              <w:t xml:space="preserve"> </w:t>
            </w:r>
            <w:r w:rsidRPr="00337B06">
              <w:rPr>
                <w:rtl/>
              </w:rPr>
              <w:t>(</w:t>
            </w:r>
            <w:r>
              <w:rPr>
                <w:rtl/>
              </w:rPr>
              <w:t>א</w:t>
            </w:r>
            <w:r w:rsidRPr="00337B06">
              <w:rPr>
                <w:rtl/>
              </w:rPr>
              <w:t>).</w:t>
            </w:r>
          </w:p>
        </w:tc>
      </w:tr>
      <w:tr w:rsidR="00156293" w:rsidTr="005356C3">
        <w:trPr>
          <w:cantSplit/>
          <w:trHeight w:val="60"/>
        </w:trPr>
        <w:tc>
          <w:tcPr>
            <w:tcW w:w="1869" w:type="dxa"/>
          </w:tcPr>
          <w:p w:rsidR="00156293" w:rsidRDefault="00156293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156293" w:rsidRDefault="00156293" w:rsidP="005356C3">
            <w:pPr>
              <w:pStyle w:val="TableText"/>
            </w:pPr>
          </w:p>
        </w:tc>
        <w:tc>
          <w:tcPr>
            <w:tcW w:w="624" w:type="dxa"/>
          </w:tcPr>
          <w:p w:rsidR="00156293" w:rsidRDefault="00156293">
            <w:pPr>
              <w:pStyle w:val="TableText"/>
            </w:pPr>
          </w:p>
        </w:tc>
        <w:tc>
          <w:tcPr>
            <w:tcW w:w="624" w:type="dxa"/>
          </w:tcPr>
          <w:p w:rsidR="00156293" w:rsidRDefault="00156293">
            <w:pPr>
              <w:pStyle w:val="TableText"/>
            </w:pPr>
          </w:p>
        </w:tc>
        <w:tc>
          <w:tcPr>
            <w:tcW w:w="624" w:type="dxa"/>
          </w:tcPr>
          <w:p w:rsidR="00156293" w:rsidRDefault="00156293">
            <w:pPr>
              <w:pStyle w:val="TableText"/>
            </w:pPr>
          </w:p>
        </w:tc>
        <w:tc>
          <w:tcPr>
            <w:tcW w:w="624" w:type="dxa"/>
          </w:tcPr>
          <w:p w:rsidR="00156293" w:rsidRDefault="00156293">
            <w:pPr>
              <w:pStyle w:val="TableText"/>
            </w:pPr>
          </w:p>
        </w:tc>
        <w:tc>
          <w:tcPr>
            <w:tcW w:w="4648" w:type="dxa"/>
            <w:gridSpan w:val="2"/>
          </w:tcPr>
          <w:p w:rsidR="00156293" w:rsidRDefault="00156293" w:rsidP="00156293">
            <w:pPr>
              <w:pStyle w:val="TableBlock"/>
              <w:rPr>
                <w:rtl/>
              </w:rPr>
            </w:pPr>
            <w:r>
              <w:rPr>
                <w:rtl/>
              </w:rPr>
              <w:t>(ד)</w:t>
            </w:r>
            <w:r>
              <w:rPr>
                <w:rtl/>
              </w:rPr>
              <w:tab/>
              <w:t>הוראות סעיף ז</w:t>
            </w:r>
            <w:r w:rsidR="005356C3">
              <w:rPr>
                <w:rtl/>
              </w:rPr>
              <w:t>ה לא יחולו על אוטובוס זעיר פרטי, כמשמעותו לפי פקודה זו.</w:t>
            </w:r>
            <w:r>
              <w:rPr>
                <w:rtl/>
              </w:rPr>
              <w:t>"</w:t>
            </w:r>
          </w:p>
        </w:tc>
      </w:tr>
    </w:tbl>
    <w:p w:rsidR="00F235A8" w:rsidRDefault="00F235A8" w:rsidP="00F252D0">
      <w:pPr>
        <w:pStyle w:val="HeadDivreiHesber"/>
        <w:rPr>
          <w:rtl/>
        </w:rPr>
      </w:pPr>
      <w:r>
        <w:rPr>
          <w:rtl/>
        </w:rPr>
        <w:t>דברי הסבר</w:t>
      </w:r>
    </w:p>
    <w:p w:rsidR="00F235A8" w:rsidRPr="00623BD2" w:rsidRDefault="00F235A8" w:rsidP="005356C3">
      <w:pPr>
        <w:pStyle w:val="Hesber"/>
        <w:rPr>
          <w:rtl/>
        </w:rPr>
      </w:pPr>
      <w:r w:rsidRPr="00623BD2">
        <w:rPr>
          <w:rtl/>
        </w:rPr>
        <w:t xml:space="preserve">כיום אחוז תאונות הדרכים </w:t>
      </w:r>
      <w:r w:rsidR="00F252D0">
        <w:rPr>
          <w:rtl/>
        </w:rPr>
        <w:t>ש</w:t>
      </w:r>
      <w:r w:rsidRPr="00623BD2">
        <w:rPr>
          <w:rtl/>
        </w:rPr>
        <w:t xml:space="preserve">בהן מעורבים אוטובוסים ומשאיות עומד על כ-30%. אנו עדים לתופעה נרחבת ומדאיגה </w:t>
      </w:r>
      <w:r w:rsidR="00F252D0">
        <w:rPr>
          <w:rtl/>
        </w:rPr>
        <w:t>ש</w:t>
      </w:r>
      <w:r w:rsidRPr="00623BD2">
        <w:rPr>
          <w:rtl/>
        </w:rPr>
        <w:t>בה נהגי אוטובוסים מפירים בצורה בוטה את נהלי הבטיחות וחוקי התנועה</w:t>
      </w:r>
      <w:r w:rsidR="0056008D" w:rsidRPr="00623BD2">
        <w:rPr>
          <w:rtl/>
        </w:rPr>
        <w:t xml:space="preserve">. נהגי אוטובוס </w:t>
      </w:r>
      <w:r w:rsidRPr="00623BD2">
        <w:rPr>
          <w:rtl/>
        </w:rPr>
        <w:t>מרשים לעצמם</w:t>
      </w:r>
      <w:r w:rsidR="00156293">
        <w:rPr>
          <w:rtl/>
        </w:rPr>
        <w:t xml:space="preserve"> לא אחת</w:t>
      </w:r>
      <w:r w:rsidRPr="00623BD2">
        <w:rPr>
          <w:rtl/>
        </w:rPr>
        <w:t xml:space="preserve"> לקרוא, לסמס ולהתעסק בנייד, בה בשעה שהם מופקדים על הסעת מאות אנשים ביום</w:t>
      </w:r>
      <w:r w:rsidR="0056008D" w:rsidRPr="00623BD2">
        <w:rPr>
          <w:rtl/>
        </w:rPr>
        <w:t>,</w:t>
      </w:r>
      <w:r w:rsidRPr="00623BD2">
        <w:rPr>
          <w:rtl/>
        </w:rPr>
        <w:t xml:space="preserve"> ובכך מפקירים את היקר לנו מכל</w:t>
      </w:r>
      <w:r w:rsidR="0056008D" w:rsidRPr="00623BD2">
        <w:rPr>
          <w:rtl/>
        </w:rPr>
        <w:t xml:space="preserve">, </w:t>
      </w:r>
      <w:r w:rsidRPr="00623BD2">
        <w:rPr>
          <w:rtl/>
        </w:rPr>
        <w:t>את חיינו</w:t>
      </w:r>
      <w:r w:rsidR="0056008D" w:rsidRPr="00623BD2">
        <w:rPr>
          <w:rtl/>
        </w:rPr>
        <w:t>.</w:t>
      </w:r>
      <w:r w:rsidRPr="00623BD2">
        <w:rPr>
          <w:rtl/>
        </w:rPr>
        <w:t xml:space="preserve"> זוהי זילות בחיי אדם.</w:t>
      </w:r>
    </w:p>
    <w:p w:rsidR="00F235A8" w:rsidRPr="00623BD2" w:rsidRDefault="00F235A8" w:rsidP="005356C3">
      <w:pPr>
        <w:pStyle w:val="Hesber"/>
        <w:rPr>
          <w:rtl/>
        </w:rPr>
      </w:pPr>
      <w:r w:rsidRPr="00623BD2">
        <w:rPr>
          <w:rtl/>
        </w:rPr>
        <w:t>לתאונה הקשה בכביש 1 שאירעה בחודש פברואר 2016, בה היו מעורבים אוטובוס ומשאית</w:t>
      </w:r>
      <w:r w:rsidR="00156293">
        <w:rPr>
          <w:rtl/>
        </w:rPr>
        <w:t>,</w:t>
      </w:r>
      <w:r w:rsidRPr="00623BD2">
        <w:rPr>
          <w:rtl/>
        </w:rPr>
        <w:t xml:space="preserve"> היו תוצאות קטלניות. </w:t>
      </w:r>
    </w:p>
    <w:p w:rsidR="00F235A8" w:rsidRPr="00623BD2" w:rsidRDefault="00F235A8" w:rsidP="005356C3">
      <w:pPr>
        <w:pStyle w:val="Hesber"/>
        <w:rPr>
          <w:rtl/>
        </w:rPr>
      </w:pPr>
      <w:r w:rsidRPr="00623BD2">
        <w:rPr>
          <w:rtl/>
        </w:rPr>
        <w:t>התברר כי נהג האוטובוס הוציא את הטכוגרף ממקומו מיד לאחר קרות התאונה. בכך הוא ניסה לשבש את הממצאים. מראיונות שהתקיימו עם נהגי אוטובוס</w:t>
      </w:r>
      <w:r w:rsidR="0056008D" w:rsidRPr="00623BD2">
        <w:rPr>
          <w:rtl/>
        </w:rPr>
        <w:t>, התברר</w:t>
      </w:r>
      <w:r w:rsidRPr="00623BD2">
        <w:rPr>
          <w:rtl/>
        </w:rPr>
        <w:t xml:space="preserve"> כי לא אחת, בצורה קלה ופשוטה</w:t>
      </w:r>
      <w:r w:rsidR="0056008D" w:rsidRPr="00623BD2">
        <w:rPr>
          <w:rtl/>
        </w:rPr>
        <w:t>,</w:t>
      </w:r>
      <w:r w:rsidRPr="00623BD2">
        <w:rPr>
          <w:rtl/>
        </w:rPr>
        <w:t xml:space="preserve"> יכול הנהג לשלוף את דיסק הטכוגרף ממקומו ולשבש את אפשרות החקירה במקרה של תאונה.</w:t>
      </w:r>
    </w:p>
    <w:p w:rsidR="0056008D" w:rsidRPr="00623BD2" w:rsidRDefault="0056008D" w:rsidP="005356C3">
      <w:pPr>
        <w:pStyle w:val="Hesber"/>
        <w:rPr>
          <w:rtl/>
        </w:rPr>
      </w:pPr>
      <w:r w:rsidRPr="00623BD2">
        <w:rPr>
          <w:rtl/>
        </w:rPr>
        <w:t>יש לזכור שבתאונות רבות בהן מעורב אוטובוס, התוצאות הן קטלניות והתאונה גובה חיי אדם.</w:t>
      </w:r>
    </w:p>
    <w:p w:rsidR="00F235A8" w:rsidRPr="00623BD2" w:rsidRDefault="00F235A8" w:rsidP="005356C3">
      <w:pPr>
        <w:pStyle w:val="Hesber"/>
        <w:rPr>
          <w:rtl/>
        </w:rPr>
      </w:pPr>
      <w:r w:rsidRPr="00623BD2">
        <w:rPr>
          <w:rtl/>
        </w:rPr>
        <w:t>הצעת חוק זו</w:t>
      </w:r>
      <w:r w:rsidR="0056008D" w:rsidRPr="00623BD2">
        <w:rPr>
          <w:rtl/>
        </w:rPr>
        <w:t xml:space="preserve">, </w:t>
      </w:r>
      <w:r w:rsidR="00156293">
        <w:rPr>
          <w:rtl/>
        </w:rPr>
        <w:t>ש</w:t>
      </w:r>
      <w:r w:rsidR="0056008D" w:rsidRPr="00623BD2">
        <w:rPr>
          <w:rtl/>
        </w:rPr>
        <w:t>בה מוצע לקבוע</w:t>
      </w:r>
      <w:r w:rsidRPr="00623BD2">
        <w:rPr>
          <w:rtl/>
        </w:rPr>
        <w:t xml:space="preserve"> חובת התקנת מצלמות וידאו המקליטות את הנעשה בתוך האוטובוס ו</w:t>
      </w:r>
      <w:r w:rsidR="0056008D" w:rsidRPr="00623BD2">
        <w:rPr>
          <w:rtl/>
        </w:rPr>
        <w:t xml:space="preserve">גם </w:t>
      </w:r>
      <w:r w:rsidRPr="00623BD2">
        <w:rPr>
          <w:rtl/>
        </w:rPr>
        <w:t xml:space="preserve">מצלמת וידאו המתעדת את נתיב נסיעתו של הנהג </w:t>
      </w:r>
      <w:r w:rsidR="0056008D" w:rsidRPr="00623BD2">
        <w:rPr>
          <w:rtl/>
        </w:rPr>
        <w:t xml:space="preserve">ואת </w:t>
      </w:r>
      <w:r w:rsidRPr="00623BD2">
        <w:rPr>
          <w:rtl/>
        </w:rPr>
        <w:t>שני</w:t>
      </w:r>
      <w:r w:rsidR="00F252D0">
        <w:rPr>
          <w:rtl/>
        </w:rPr>
        <w:t xml:space="preserve"> צידי האוטובוס, תאפשר</w:t>
      </w:r>
      <w:r w:rsidRPr="00623BD2">
        <w:rPr>
          <w:rtl/>
        </w:rPr>
        <w:t>,</w:t>
      </w:r>
      <w:r w:rsidR="00F252D0">
        <w:rPr>
          <w:rtl/>
        </w:rPr>
        <w:t xml:space="preserve"> </w:t>
      </w:r>
      <w:r w:rsidRPr="00623BD2">
        <w:rPr>
          <w:rtl/>
        </w:rPr>
        <w:t>בזמן תאונה, להתחקות אחר אופן נסיעתו של נהג האוטובוס קודם לתאונה,</w:t>
      </w:r>
      <w:r w:rsidR="00F252D0">
        <w:rPr>
          <w:rtl/>
        </w:rPr>
        <w:t xml:space="preserve"> ו</w:t>
      </w:r>
      <w:r w:rsidRPr="00623BD2">
        <w:rPr>
          <w:rtl/>
        </w:rPr>
        <w:t>כך לסייע לחוקרי תאונות הדרכים בהבנת הגורמים שהובילו לתאונה.</w:t>
      </w:r>
    </w:p>
    <w:p w:rsidR="00F235A8" w:rsidRPr="00623BD2" w:rsidRDefault="00F235A8" w:rsidP="005356C3">
      <w:pPr>
        <w:pStyle w:val="Hesber"/>
        <w:rPr>
          <w:rtl/>
        </w:rPr>
      </w:pPr>
      <w:r w:rsidRPr="00623BD2">
        <w:rPr>
          <w:rtl/>
        </w:rPr>
        <w:t xml:space="preserve">מודל זה של התקנת מצלמות וידאו בתוך </w:t>
      </w:r>
      <w:r w:rsidR="00156293">
        <w:rPr>
          <w:rtl/>
        </w:rPr>
        <w:t>ה</w:t>
      </w:r>
      <w:r w:rsidRPr="00623BD2">
        <w:rPr>
          <w:rtl/>
        </w:rPr>
        <w:t>אוטובוס</w:t>
      </w:r>
      <w:r w:rsidR="00156293">
        <w:rPr>
          <w:rtl/>
        </w:rPr>
        <w:t xml:space="preserve"> ומחוצה לו</w:t>
      </w:r>
      <w:r w:rsidRPr="00623BD2">
        <w:rPr>
          <w:rtl/>
        </w:rPr>
        <w:t xml:space="preserve"> הוכיח את עצמ</w:t>
      </w:r>
      <w:r w:rsidR="0056008D" w:rsidRPr="00623BD2">
        <w:rPr>
          <w:rtl/>
        </w:rPr>
        <w:t>ו</w:t>
      </w:r>
      <w:r w:rsidRPr="00623BD2">
        <w:rPr>
          <w:rtl/>
        </w:rPr>
        <w:t xml:space="preserve"> במועצה אזורית לב השרון</w:t>
      </w:r>
      <w:r w:rsidR="0056008D" w:rsidRPr="00623BD2">
        <w:rPr>
          <w:rtl/>
        </w:rPr>
        <w:t>,</w:t>
      </w:r>
      <w:r w:rsidRPr="00623BD2">
        <w:rPr>
          <w:rtl/>
        </w:rPr>
        <w:t xml:space="preserve"> בה הותקנו מצלמות מסוג זה כבר בשנת 2007 באוטובוסים של הסעות התלמידים לבתי הספר. תוצאות השימוש במצלמות אלה הוכיחו ירידה של 60% בנזקי וונדליזם בתוך האוטובוס, ומדיווחי "כיצד אני נוהג"</w:t>
      </w:r>
      <w:r w:rsidR="00C40ED2">
        <w:rPr>
          <w:rtl/>
        </w:rPr>
        <w:t>, שהועברו לרכז התחבורה במועצה אזורית לב השרון,</w:t>
      </w:r>
      <w:r w:rsidRPr="00623BD2">
        <w:rPr>
          <w:rtl/>
        </w:rPr>
        <w:t xml:space="preserve"> </w:t>
      </w:r>
      <w:r w:rsidR="0056008D" w:rsidRPr="00623BD2">
        <w:rPr>
          <w:rtl/>
        </w:rPr>
        <w:t>עולה ש</w:t>
      </w:r>
      <w:r w:rsidRPr="00623BD2">
        <w:rPr>
          <w:rtl/>
        </w:rPr>
        <w:t>במקום 80 דיווחים בשנה</w:t>
      </w:r>
      <w:r w:rsidR="0056008D" w:rsidRPr="00623BD2">
        <w:rPr>
          <w:rtl/>
        </w:rPr>
        <w:t xml:space="preserve"> שהתקבלו לפני התקנת המצלמות האמורות, </w:t>
      </w:r>
      <w:r w:rsidRPr="00623BD2">
        <w:rPr>
          <w:rtl/>
        </w:rPr>
        <w:t>היום מתקבלים כ</w:t>
      </w:r>
      <w:r w:rsidR="00F252D0">
        <w:rPr>
          <w:rtl/>
        </w:rPr>
        <w:t>-</w:t>
      </w:r>
      <w:r w:rsidRPr="00623BD2">
        <w:rPr>
          <w:rtl/>
        </w:rPr>
        <w:t>8-10 דיווחים בלבד.</w:t>
      </w:r>
      <w:r w:rsidR="00C40ED2">
        <w:rPr>
          <w:rtl/>
        </w:rPr>
        <w:t xml:space="preserve"> כמו כן, </w:t>
      </w:r>
      <w:r w:rsidR="00FC2E68">
        <w:rPr>
          <w:rtl/>
        </w:rPr>
        <w:t xml:space="preserve">במחקר שהתבצע בעניין יעילותן של מצלמות באוטובוסים להסעות תלמידים, העיד רכז התחבורה, שמאז התקנת המצלמות באוטובוסים נצפה שיפור בנהיגה של נהגי הסעות התלמידים. בנוסף, המחקר הראה שלאחר </w:t>
      </w:r>
      <w:r w:rsidR="00FC2E68">
        <w:rPr>
          <w:rtl/>
        </w:rPr>
        <w:lastRenderedPageBreak/>
        <w:t>התקנת המצלמות באוטובוסים, דווחו פחות מקרים שבהם נהגי האוטובוסים להסעות ילדים, לא צייתו לחוקי התעבורה.</w:t>
      </w:r>
    </w:p>
    <w:p w:rsidR="00F235A8" w:rsidRPr="00623BD2" w:rsidRDefault="00F235A8" w:rsidP="005356C3">
      <w:pPr>
        <w:pStyle w:val="Hesber"/>
        <w:rPr>
          <w:rtl/>
        </w:rPr>
      </w:pPr>
      <w:r w:rsidRPr="00623BD2">
        <w:rPr>
          <w:rtl/>
        </w:rPr>
        <w:t>הממצא המשמעותי והראוי מכל לציון הוא שמאז לא היו תאונות קטלניות במועצה האזורית לב השרון.</w:t>
      </w:r>
    </w:p>
    <w:p w:rsidR="005356C3" w:rsidRDefault="00156293" w:rsidP="005356C3">
      <w:pPr>
        <w:pStyle w:val="Hesber"/>
        <w:rPr>
          <w:rtl/>
        </w:rPr>
      </w:pPr>
      <w:r>
        <w:rPr>
          <w:rtl/>
        </w:rPr>
        <w:t xml:space="preserve">יצוין כי </w:t>
      </w:r>
      <w:r w:rsidR="00186B5D">
        <w:rPr>
          <w:rtl/>
        </w:rPr>
        <w:t>מ</w:t>
      </w:r>
      <w:r w:rsidR="00FC2E68">
        <w:rPr>
          <w:rtl/>
        </w:rPr>
        <w:t xml:space="preserve">ספטמבר 2009 </w:t>
      </w:r>
      <w:r w:rsidR="00186B5D">
        <w:rPr>
          <w:rtl/>
        </w:rPr>
        <w:t>קיימים</w:t>
      </w:r>
      <w:r w:rsidR="005C56A5">
        <w:rPr>
          <w:rtl/>
        </w:rPr>
        <w:t xml:space="preserve"> כ-200 אוטובוסים, אשר שייכים למועצות אזוריות, ש</w:t>
      </w:r>
      <w:r w:rsidR="00186B5D">
        <w:rPr>
          <w:rtl/>
        </w:rPr>
        <w:t>מותקנות</w:t>
      </w:r>
      <w:r w:rsidR="005C56A5">
        <w:rPr>
          <w:rtl/>
        </w:rPr>
        <w:t xml:space="preserve"> בהם מצלמות. </w:t>
      </w:r>
    </w:p>
    <w:p w:rsidR="00F235A8" w:rsidRDefault="00156293" w:rsidP="005356C3">
      <w:pPr>
        <w:pStyle w:val="Hesber"/>
        <w:rPr>
          <w:rtl/>
        </w:rPr>
      </w:pPr>
      <w:r>
        <w:rPr>
          <w:rtl/>
        </w:rPr>
        <w:t>לדעת מציעי הצעת חוק זו, התקנת מצלמות כאמור</w:t>
      </w:r>
      <w:r w:rsidR="00F235A8" w:rsidRPr="00623BD2">
        <w:rPr>
          <w:rtl/>
        </w:rPr>
        <w:t xml:space="preserve"> תביא למניעת תאונות הדרכים הקטלניות באוטובוסים.</w:t>
      </w:r>
    </w:p>
    <w:p w:rsidR="00F252D0" w:rsidRDefault="00F252D0" w:rsidP="005356C3">
      <w:pPr>
        <w:pStyle w:val="Hesber"/>
        <w:rPr>
          <w:rtl/>
        </w:rPr>
      </w:pPr>
    </w:p>
    <w:p w:rsidR="00F252D0" w:rsidRDefault="00F252D0" w:rsidP="005356C3">
      <w:pPr>
        <w:pStyle w:val="Hesber"/>
        <w:rPr>
          <w:rtl/>
        </w:rPr>
      </w:pPr>
    </w:p>
    <w:p w:rsidR="00F252D0" w:rsidRPr="00D73212" w:rsidRDefault="00F252D0" w:rsidP="00F252D0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:rsidR="00F252D0" w:rsidRPr="00D73212" w:rsidRDefault="00F252D0" w:rsidP="00F252D0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הוגשה ליו"ר הכנסת והסגנים</w:t>
      </w:r>
    </w:p>
    <w:p w:rsidR="00F252D0" w:rsidRPr="00D73212" w:rsidRDefault="00F252D0" w:rsidP="00F252D0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והונחה על שולחן הכנסת ביום</w:t>
      </w:r>
    </w:p>
    <w:p w:rsidR="00F252D0" w:rsidRPr="00317312" w:rsidRDefault="00F252D0" w:rsidP="00F252D0">
      <w:pPr>
        <w:pStyle w:val="Hesber"/>
      </w:pPr>
      <w:r>
        <w:rPr>
          <w:color w:val="auto"/>
          <w:rtl/>
          <w:lang w:eastAsia="en-US"/>
        </w:rPr>
        <w:t>י"א באדר ב'</w:t>
      </w:r>
      <w:r w:rsidRPr="00D73212">
        <w:rPr>
          <w:color w:val="auto"/>
          <w:rtl/>
          <w:lang w:eastAsia="en-US"/>
        </w:rPr>
        <w:t xml:space="preserve"> התשע"</w:t>
      </w:r>
      <w:r>
        <w:rPr>
          <w:color w:val="auto"/>
          <w:rtl/>
          <w:lang w:eastAsia="en-US"/>
        </w:rPr>
        <w:t>ו</w:t>
      </w:r>
      <w:r w:rsidRPr="00D73212">
        <w:rPr>
          <w:color w:val="auto"/>
          <w:rtl/>
          <w:lang w:eastAsia="en-US"/>
        </w:rPr>
        <w:t xml:space="preserve"> – </w:t>
      </w:r>
      <w:r>
        <w:rPr>
          <w:color w:val="auto"/>
          <w:rtl/>
          <w:lang w:eastAsia="en-US"/>
        </w:rPr>
        <w:t>21.3</w:t>
      </w:r>
      <w:r w:rsidRPr="00D73212">
        <w:rPr>
          <w:color w:val="auto"/>
          <w:rtl/>
          <w:lang w:eastAsia="en-US"/>
        </w:rPr>
        <w:t>.1</w:t>
      </w:r>
      <w:r>
        <w:rPr>
          <w:color w:val="auto"/>
          <w:rtl/>
          <w:lang w:eastAsia="en-US"/>
        </w:rPr>
        <w:t>6</w:t>
      </w:r>
    </w:p>
    <w:p w:rsidR="00F252D0" w:rsidRPr="00F252D0" w:rsidRDefault="00F252D0" w:rsidP="005356C3">
      <w:pPr>
        <w:pStyle w:val="Hesber"/>
        <w:rPr>
          <w:rtl/>
        </w:rPr>
      </w:pPr>
    </w:p>
    <w:p w:rsidR="00F252D0" w:rsidRDefault="00F252D0" w:rsidP="005356C3">
      <w:pPr>
        <w:pStyle w:val="Hesber"/>
        <w:rPr>
          <w:rtl/>
        </w:rPr>
      </w:pPr>
    </w:p>
    <w:p w:rsidR="00F235A8" w:rsidRPr="00205DFB" w:rsidRDefault="00F235A8" w:rsidP="00F235A8">
      <w:pPr>
        <w:pStyle w:val="Hesber"/>
        <w:ind w:firstLine="0"/>
        <w:jc w:val="left"/>
        <w:rPr>
          <w:rtl/>
        </w:rPr>
      </w:pPr>
    </w:p>
    <w:p w:rsidR="00707E57" w:rsidRPr="00F235A8" w:rsidRDefault="00707E57" w:rsidP="00F235A8">
      <w:pPr>
        <w:rPr>
          <w:rtl/>
        </w:rPr>
      </w:pPr>
    </w:p>
    <w:sectPr w:rsidR="00707E57" w:rsidRPr="00F235A8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FC6" w:rsidRDefault="00150FC6">
      <w:r>
        <w:separator/>
      </w:r>
    </w:p>
  </w:endnote>
  <w:endnote w:type="continuationSeparator" w:id="0">
    <w:p w:rsidR="00150FC6" w:rsidRDefault="00150FC6">
      <w:r>
        <w:continuationSeparator/>
      </w:r>
    </w:p>
  </w:endnote>
  <w:endnote w:type="continuationNotice" w:id="1">
    <w:p w:rsidR="00150FC6" w:rsidRDefault="00150FC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adasa Roso S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041" w:rsidRDefault="002C3041" w:rsidP="001207F8">
    <w:pPr>
      <w:pStyle w:val="Footer"/>
      <w:framePr w:wrap="around" w:vAnchor="text" w:hAnchor="text" w:xAlign="center" w:y="1"/>
      <w:rPr>
        <w:rStyle w:val="PageNumber"/>
        <w:rFonts w:cs="Hadasa Roso SL"/>
      </w:rPr>
    </w:pPr>
    <w:r>
      <w:rPr>
        <w:rStyle w:val="PageNumber"/>
        <w:rFonts w:cs="Hadasa Roso SL"/>
      </w:rPr>
      <w:fldChar w:fldCharType="begin"/>
    </w:r>
    <w:r>
      <w:rPr>
        <w:rStyle w:val="PageNumber"/>
        <w:rFonts w:cs="Hadasa Roso SL"/>
      </w:rPr>
      <w:instrText xml:space="preserve">PAGE  </w:instrText>
    </w:r>
    <w:r>
      <w:rPr>
        <w:rStyle w:val="PageNumber"/>
        <w:rFonts w:cs="Hadasa Roso SL"/>
      </w:rPr>
      <w:fldChar w:fldCharType="end"/>
    </w:r>
  </w:p>
  <w:p w:rsidR="002C3041" w:rsidRDefault="002C3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041" w:rsidRDefault="002C3041" w:rsidP="001207F8">
    <w:pPr>
      <w:pStyle w:val="Footer"/>
      <w:framePr w:wrap="around" w:vAnchor="text" w:hAnchor="text" w:xAlign="center" w:y="1"/>
      <w:rPr>
        <w:rStyle w:val="PageNumber"/>
        <w:rFonts w:cs="Hadasa Roso SL"/>
      </w:rPr>
    </w:pPr>
    <w:r>
      <w:rPr>
        <w:rStyle w:val="PageNumber"/>
        <w:rFonts w:cs="Hadasa Roso SL"/>
      </w:rPr>
      <w:fldChar w:fldCharType="begin"/>
    </w:r>
    <w:r>
      <w:rPr>
        <w:rStyle w:val="PageNumber"/>
        <w:rFonts w:cs="Hadasa Roso SL"/>
      </w:rPr>
      <w:instrText xml:space="preserve">PAGE  </w:instrText>
    </w:r>
    <w:r>
      <w:rPr>
        <w:rStyle w:val="PageNumber"/>
        <w:rFonts w:cs="Hadasa Roso SL"/>
      </w:rPr>
      <w:fldChar w:fldCharType="separate"/>
    </w:r>
    <w:r w:rsidR="00295FE3">
      <w:rPr>
        <w:rStyle w:val="PageNumber"/>
        <w:noProof/>
        <w:rtl/>
      </w:rPr>
      <w:t>2</w:t>
    </w:r>
    <w:r>
      <w:rPr>
        <w:rStyle w:val="PageNumber"/>
        <w:rFonts w:cs="Hadasa Roso SL"/>
      </w:rPr>
      <w:fldChar w:fldCharType="end"/>
    </w:r>
  </w:p>
  <w:p w:rsidR="002C3041" w:rsidRDefault="002C3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FC6" w:rsidRDefault="00150FC6">
      <w:r>
        <w:separator/>
      </w:r>
    </w:p>
  </w:footnote>
  <w:footnote w:type="continuationSeparator" w:id="0">
    <w:p w:rsidR="00150FC6" w:rsidRDefault="00150FC6">
      <w:r>
        <w:continuationSeparator/>
      </w:r>
    </w:p>
  </w:footnote>
  <w:footnote w:type="continuationNotice" w:id="1">
    <w:p w:rsidR="00150FC6" w:rsidRDefault="00150FC6"/>
  </w:footnote>
  <w:footnote w:id="2">
    <w:p w:rsidR="00F235A8" w:rsidRDefault="00F235A8" w:rsidP="00F235A8">
      <w:pPr>
        <w:pStyle w:val="FootnoteText"/>
        <w:rPr>
          <w:rtl/>
        </w:rPr>
      </w:pPr>
      <w:r>
        <w:rPr>
          <w:rStyle w:val="FootnoteReference"/>
          <w:rFonts w:cs="David"/>
        </w:rPr>
        <w:footnoteRef/>
      </w:r>
      <w:r>
        <w:rPr>
          <w:rtl/>
        </w:rPr>
        <w:t xml:space="preserve">      דיני מדינת ישראל, נוסח חדש 7, עמ' 173</w:t>
      </w:r>
    </w:p>
    <w:p w:rsidR="00F235A8" w:rsidRDefault="00F235A8" w:rsidP="00F235A8">
      <w:pPr>
        <w:pStyle w:val="FootnoteText"/>
        <w:rPr>
          <w:rtl/>
        </w:rPr>
      </w:pPr>
    </w:p>
    <w:p w:rsidR="00F235A8" w:rsidRDefault="00F235A8" w:rsidP="00F235A8">
      <w:pPr>
        <w:pStyle w:val="FootnoteText"/>
        <w:rPr>
          <w:rtl/>
        </w:rPr>
      </w:pPr>
    </w:p>
    <w:p w:rsidR="00F235A8" w:rsidRDefault="00F235A8" w:rsidP="00F235A8">
      <w:pPr>
        <w:pStyle w:val="FootnoteText"/>
        <w:rPr>
          <w:rtl/>
        </w:rPr>
      </w:pPr>
    </w:p>
    <w:p w:rsidR="00F235A8" w:rsidRDefault="00F235A8" w:rsidP="00F235A8">
      <w:pPr>
        <w:pStyle w:val="FootnoteText"/>
        <w:rPr>
          <w:rtl/>
        </w:rPr>
      </w:pPr>
    </w:p>
    <w:p w:rsidR="00000000" w:rsidRDefault="00F235A8" w:rsidP="00F235A8">
      <w:pPr>
        <w:pStyle w:val="FootnoteText"/>
      </w:pPr>
      <w:r>
        <w:rPr>
          <w:rtl/>
        </w:rPr>
        <w:t xml:space="preserve">         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</w:pPr>
      <w:rPr>
        <w:rFonts w:cs="Times New Roman"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</w:pPr>
      <w:rPr>
        <w:rFonts w:cs="Times New Roman"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</w:pPr>
      <w:rPr>
        <w:rFonts w:cs="Times New Roman"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</w:pPr>
      <w:rPr>
        <w:rFonts w:cs="Times New Roman"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/>
      </w:pPr>
      <w:rPr>
        <w:rFonts w:cs="Times New Roman"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10182"/>
    <w:rsid w:val="001207F8"/>
    <w:rsid w:val="00121924"/>
    <w:rsid w:val="001279A8"/>
    <w:rsid w:val="0014195F"/>
    <w:rsid w:val="00150FC6"/>
    <w:rsid w:val="00152609"/>
    <w:rsid w:val="00153E1B"/>
    <w:rsid w:val="00156293"/>
    <w:rsid w:val="00186B5D"/>
    <w:rsid w:val="001A0623"/>
    <w:rsid w:val="001C23B0"/>
    <w:rsid w:val="001D7AAF"/>
    <w:rsid w:val="00203A7F"/>
    <w:rsid w:val="00205DFB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4E1C"/>
    <w:rsid w:val="0027600C"/>
    <w:rsid w:val="00292712"/>
    <w:rsid w:val="00295FE3"/>
    <w:rsid w:val="002A487D"/>
    <w:rsid w:val="002C2E29"/>
    <w:rsid w:val="002C3041"/>
    <w:rsid w:val="002D1EE3"/>
    <w:rsid w:val="002F1D80"/>
    <w:rsid w:val="00317312"/>
    <w:rsid w:val="003232A2"/>
    <w:rsid w:val="00325C14"/>
    <w:rsid w:val="00337B06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4F7A2E"/>
    <w:rsid w:val="00510331"/>
    <w:rsid w:val="005356C3"/>
    <w:rsid w:val="00553C9D"/>
    <w:rsid w:val="0056008D"/>
    <w:rsid w:val="00562A66"/>
    <w:rsid w:val="005B064E"/>
    <w:rsid w:val="005C56A5"/>
    <w:rsid w:val="005D51AE"/>
    <w:rsid w:val="00623BD2"/>
    <w:rsid w:val="0062674B"/>
    <w:rsid w:val="006363B2"/>
    <w:rsid w:val="00644940"/>
    <w:rsid w:val="00672DEA"/>
    <w:rsid w:val="006818A9"/>
    <w:rsid w:val="006A0DA5"/>
    <w:rsid w:val="006A2D81"/>
    <w:rsid w:val="006C1D0D"/>
    <w:rsid w:val="0070601E"/>
    <w:rsid w:val="00707E57"/>
    <w:rsid w:val="00712C72"/>
    <w:rsid w:val="00735FE9"/>
    <w:rsid w:val="007454C7"/>
    <w:rsid w:val="00763CAA"/>
    <w:rsid w:val="00765F66"/>
    <w:rsid w:val="0078664F"/>
    <w:rsid w:val="007C3FA6"/>
    <w:rsid w:val="007D585A"/>
    <w:rsid w:val="007D5A12"/>
    <w:rsid w:val="007E59F9"/>
    <w:rsid w:val="00807F66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D94"/>
    <w:rsid w:val="008E6EC7"/>
    <w:rsid w:val="008F0D63"/>
    <w:rsid w:val="008F1308"/>
    <w:rsid w:val="008F2C35"/>
    <w:rsid w:val="008F6665"/>
    <w:rsid w:val="00904591"/>
    <w:rsid w:val="00905E5F"/>
    <w:rsid w:val="00910EC7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0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2366E"/>
    <w:rsid w:val="00B35784"/>
    <w:rsid w:val="00B733A7"/>
    <w:rsid w:val="00B75C91"/>
    <w:rsid w:val="00B975AD"/>
    <w:rsid w:val="00BC45FB"/>
    <w:rsid w:val="00BF148D"/>
    <w:rsid w:val="00C23B1A"/>
    <w:rsid w:val="00C310EB"/>
    <w:rsid w:val="00C40ED2"/>
    <w:rsid w:val="00C9176A"/>
    <w:rsid w:val="00CF1AA2"/>
    <w:rsid w:val="00D17774"/>
    <w:rsid w:val="00D2623A"/>
    <w:rsid w:val="00D31C81"/>
    <w:rsid w:val="00D347F2"/>
    <w:rsid w:val="00D63620"/>
    <w:rsid w:val="00D73212"/>
    <w:rsid w:val="00D8410D"/>
    <w:rsid w:val="00D867D7"/>
    <w:rsid w:val="00DB7060"/>
    <w:rsid w:val="00DE3153"/>
    <w:rsid w:val="00DF2015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235A8"/>
    <w:rsid w:val="00F252D0"/>
    <w:rsid w:val="00F628D6"/>
    <w:rsid w:val="00F67051"/>
    <w:rsid w:val="00F86A1E"/>
    <w:rsid w:val="00FA3E68"/>
    <w:rsid w:val="00FA5E88"/>
    <w:rsid w:val="00F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EFD8A9C-2618-4A4F-BDC8-8D055E0F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semiHidden="1" w:unhideWhenUsed="1"/>
    <w:lsdException w:name="List 3" w:semiHidden="1" w:unhideWhenUsed="1"/>
    <w:lsdException w:name="Title" w:qFormat="1"/>
    <w:lsdException w:name="Message Header" w:semiHidden="1" w:unhideWhenUsed="1"/>
    <w:lsdException w:name="Subtitle" w:qFormat="1"/>
    <w:lsdException w:name="Strong" w:qFormat="1"/>
    <w:lsdException w:name="Emphasis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347F2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color w:val="000000"/>
      <w:szCs w:val="26"/>
      <w:lang w:eastAsia="ja-JP"/>
    </w:rPr>
  </w:style>
  <w:style w:type="paragraph" w:customStyle="1" w:styleId="Cover1-Reshumot">
    <w:name w:val="Cover 1-Reshumot"/>
    <w:basedOn w:val="Normal"/>
    <w:rsid w:val="00D347F2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D347F2"/>
    <w:rPr>
      <w:sz w:val="36"/>
      <w:szCs w:val="52"/>
    </w:rPr>
  </w:style>
  <w:style w:type="paragraph" w:customStyle="1" w:styleId="Cover3-Haknesset">
    <w:name w:val="Cover 3-Haknesset"/>
    <w:basedOn w:val="Cover1-Reshumot"/>
    <w:rsid w:val="00D347F2"/>
    <w:rPr>
      <w:b/>
      <w:bCs/>
      <w:spacing w:val="60"/>
    </w:rPr>
  </w:style>
  <w:style w:type="paragraph" w:customStyle="1" w:styleId="Cover4-Date">
    <w:name w:val="Cover 4-Date"/>
    <w:basedOn w:val="Normal"/>
    <w:rsid w:val="00D347F2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rmal"/>
    <w:rsid w:val="00D347F2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pacing w:val="0"/>
      <w:sz w:val="20"/>
      <w:szCs w:val="26"/>
    </w:rPr>
  </w:style>
  <w:style w:type="paragraph" w:customStyle="1" w:styleId="HeadHatzaotHok">
    <w:name w:val="Head HatzaotHok"/>
    <w:basedOn w:val="Normal"/>
    <w:rsid w:val="00D347F2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D347F2"/>
    <w:pPr>
      <w:spacing w:before="120" w:after="120"/>
    </w:pPr>
    <w:rPr>
      <w:color w:val="FF0000"/>
      <w:w w:val="80"/>
    </w:rPr>
  </w:style>
  <w:style w:type="paragraph" w:styleId="EndnoteText">
    <w:name w:val="endnote text"/>
    <w:basedOn w:val="Normal"/>
    <w:link w:val="EndnoteTextChar"/>
    <w:uiPriority w:val="99"/>
    <w:semiHidden/>
    <w:rsid w:val="00D347F2"/>
    <w:pPr>
      <w:ind w:left="227" w:hanging="227"/>
    </w:pPr>
    <w:rPr>
      <w:sz w:val="14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Hadasa Roso SL" w:hAnsi="Hadasa Roso SL" w:cs="Hadasa Roso SL"/>
      <w:color w:val="000000"/>
      <w:spacing w:val="1"/>
      <w:lang w:eastAsia="ja-JP"/>
    </w:rPr>
  </w:style>
  <w:style w:type="paragraph" w:customStyle="1" w:styleId="TableText">
    <w:name w:val="Table Text"/>
    <w:basedOn w:val="Normal"/>
    <w:rsid w:val="00D347F2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D347F2"/>
  </w:style>
  <w:style w:type="paragraph" w:customStyle="1" w:styleId="TableBlock">
    <w:name w:val="Table Block"/>
    <w:basedOn w:val="TableText"/>
    <w:rsid w:val="00D347F2"/>
    <w:pPr>
      <w:ind w:right="0"/>
      <w:jc w:val="both"/>
    </w:pPr>
  </w:style>
  <w:style w:type="paragraph" w:customStyle="1" w:styleId="TableHead">
    <w:name w:val="Table Head"/>
    <w:basedOn w:val="TableText"/>
    <w:rsid w:val="00D347F2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D347F2"/>
  </w:style>
  <w:style w:type="paragraph" w:customStyle="1" w:styleId="Hesber">
    <w:name w:val="Hesber"/>
    <w:basedOn w:val="Normal"/>
    <w:rsid w:val="00D347F2"/>
    <w:pPr>
      <w:snapToGrid w:val="0"/>
      <w:spacing w:before="0" w:line="360" w:lineRule="auto"/>
    </w:pPr>
    <w:rPr>
      <w:rFonts w:ascii="Arial" w:eastAsia="Arial Unicode MS" w:hAnsi="Arial" w:cs="David"/>
      <w:spacing w:val="0"/>
      <w:sz w:val="20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D347F2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pacing w:val="0"/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Hadasa Roso SL" w:hAnsi="Hadasa Roso SL" w:cs="Hadasa Roso SL"/>
      <w:color w:val="000000"/>
      <w:spacing w:val="1"/>
      <w:lang w:eastAsia="ja-JP"/>
    </w:rPr>
  </w:style>
  <w:style w:type="character" w:styleId="FootnoteReference">
    <w:name w:val="footnote reference"/>
    <w:basedOn w:val="DefaultParagraphFont"/>
    <w:uiPriority w:val="99"/>
    <w:semiHidden/>
    <w:rsid w:val="00D347F2"/>
    <w:rPr>
      <w:rFonts w:cs="Times New Roman"/>
      <w:vertAlign w:val="superscript"/>
    </w:rPr>
  </w:style>
  <w:style w:type="paragraph" w:customStyle="1" w:styleId="HesberHeading">
    <w:name w:val="Hesber Heading"/>
    <w:basedOn w:val="Hesber"/>
    <w:rsid w:val="00D347F2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D347F2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D347F2"/>
    <w:pPr>
      <w:tabs>
        <w:tab w:val="left" w:pos="680"/>
        <w:tab w:val="left" w:pos="1020"/>
      </w:tabs>
      <w:ind w:firstLine="0"/>
    </w:pPr>
  </w:style>
  <w:style w:type="character" w:styleId="EndnoteReference">
    <w:name w:val="endnote reference"/>
    <w:basedOn w:val="DefaultParagraphFont"/>
    <w:uiPriority w:val="99"/>
    <w:semiHidden/>
    <w:rsid w:val="00D347F2"/>
    <w:rPr>
      <w:rFonts w:cs="Times New Roman"/>
      <w:vertAlign w:val="superscript"/>
    </w:rPr>
  </w:style>
  <w:style w:type="paragraph" w:customStyle="1" w:styleId="TableBlockOutdent">
    <w:name w:val="Table BlockOutdent"/>
    <w:basedOn w:val="TableBlock"/>
    <w:rsid w:val="00D347F2"/>
    <w:pPr>
      <w:ind w:left="624" w:hanging="624"/>
    </w:pPr>
  </w:style>
  <w:style w:type="paragraph" w:styleId="Header">
    <w:name w:val="header"/>
    <w:basedOn w:val="Normal"/>
    <w:link w:val="HeaderChar"/>
    <w:uiPriority w:val="99"/>
    <w:rsid w:val="00D347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paragraph" w:styleId="Footer">
    <w:name w:val="footer"/>
    <w:basedOn w:val="Normal"/>
    <w:link w:val="FooterChar"/>
    <w:uiPriority w:val="99"/>
    <w:rsid w:val="00D347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paragraph" w:customStyle="1" w:styleId="HeadDivreiHesber">
    <w:name w:val="Head DivreiHesber"/>
    <w:basedOn w:val="Normal"/>
    <w:rsid w:val="00D347F2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pacing w:val="40"/>
      <w:sz w:val="20"/>
      <w:szCs w:val="26"/>
    </w:rPr>
  </w:style>
  <w:style w:type="paragraph" w:customStyle="1" w:styleId="Ragil">
    <w:name w:val="Ragil"/>
    <w:basedOn w:val="Normal"/>
    <w:rsid w:val="00D347F2"/>
    <w:pPr>
      <w:snapToGrid w:val="0"/>
      <w:spacing w:before="0" w:line="360" w:lineRule="auto"/>
      <w:jc w:val="left"/>
    </w:pPr>
    <w:rPr>
      <w:rFonts w:ascii="Arial" w:eastAsia="Arial Unicode MS" w:hAnsi="Arial" w:cs="David"/>
      <w:spacing w:val="0"/>
      <w:sz w:val="20"/>
      <w:szCs w:val="26"/>
    </w:rPr>
  </w:style>
  <w:style w:type="paragraph" w:styleId="Title">
    <w:name w:val="Title"/>
    <w:basedOn w:val="Normal"/>
    <w:link w:val="TitleChar"/>
    <w:uiPriority w:val="10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color w:val="000000"/>
      <w:spacing w:val="1"/>
      <w:kern w:val="28"/>
      <w:sz w:val="32"/>
      <w:szCs w:val="32"/>
      <w:lang w:eastAsia="ja-JP"/>
    </w:rPr>
  </w:style>
  <w:style w:type="character" w:styleId="PageNumber">
    <w:name w:val="page number"/>
    <w:basedOn w:val="DefaultParagraphFont"/>
    <w:uiPriority w:val="99"/>
    <w:rsid w:val="00D347F2"/>
    <w:rPr>
      <w:rFonts w:cs="Times New Roman"/>
    </w:rPr>
  </w:style>
  <w:style w:type="paragraph" w:customStyle="1" w:styleId="David">
    <w:name w:val="רגיל + (עברית ושפות אחרות) David"/>
    <w:aliases w:val="‏13 נק',מודגש,אחרי:  6 נק'"/>
    <w:basedOn w:val="Normal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25C14"/>
    <w:rPr>
      <w:rFonts w:ascii="Tahoma" w:hAnsi="Tahoma" w:cs="Tahoma"/>
      <w:color w:val="000000"/>
      <w:spacing w:val="1"/>
      <w:sz w:val="16"/>
      <w:szCs w:val="16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69B7F6-8D29-42D4-8D5F-65A2F3953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A7C3F3-E8BD-4C8B-BA04-873A7DB4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2861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הצעת חוק לתיקון פקודת התעבורה (חובת התקנת מצלמות באוטובוס), התשע"ו-2016</vt:lpstr>
    </vt:vector>
  </TitlesOfParts>
  <Company>Knesset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חוק לתיקון פקודת התעבורה (חובת התקנת מצלמות באוטובוס), התשע"ו-2016</dc:title>
  <dc:subject/>
  <dc:creator>מיקה צור</dc:creator>
  <cp:keywords/>
  <dc:description/>
  <cp:lastModifiedBy>מיכל גולי</cp:lastModifiedBy>
  <cp:revision>2</cp:revision>
  <cp:lastPrinted>2016-03-17T10:50:00Z</cp:lastPrinted>
  <dcterms:created xsi:type="dcterms:W3CDTF">2016-03-22T09:42:00Z</dcterms:created>
  <dcterms:modified xsi:type="dcterms:W3CDTF">2016-03-22T09:42:00Z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576565</vt:r8>
  </property>
  <property fmtid="{D5CDD505-2E9C-101B-9397-08002B2CF9AE}" pid="6" name="Autonumber">
    <vt:lpwstr>323617</vt:lpwstr>
  </property>
  <property fmtid="{D5CDD505-2E9C-101B-9397-08002B2CF9AE}" pid="7" name="title">
    <vt:lpwstr>הצעת חוק לתיקון פקודת התעבורה (חובת התקנת מצלמות באוטובוס), התשע"ו-2016</vt:lpwstr>
  </property>
  <property fmtid="{D5CDD505-2E9C-101B-9397-08002B2CF9AE}" pid="8" name="SDAuthor">
    <vt:lpwstr>טליה אברבוך</vt:lpwstr>
  </property>
  <property fmtid="{D5CDD505-2E9C-101B-9397-08002B2CF9AE}" pid="9" name="SDDocDate">
    <vt:lpwstr>2016-02-24T10:17:07+02:00</vt:lpwstr>
  </property>
  <property fmtid="{D5CDD505-2E9C-101B-9397-08002B2CF9AE}" pid="10" name="LSITEMID">
    <vt:lpwstr>576565</vt:lpwstr>
  </property>
  <property fmtid="{D5CDD505-2E9C-101B-9397-08002B2CF9AE}" pid="11" name="LSSUBJECT">
    <vt:lpwstr>הצעת חוק לתיקון פקודת התעבורה (חובת התקנת מצלמות באוטובוס), התשע"ו-2016</vt:lpwstr>
  </property>
  <property fmtid="{D5CDD505-2E9C-101B-9397-08002B2CF9AE}" pid="12" name="LSKNESSETID">
    <vt:lpwstr>20</vt:lpwstr>
  </property>
  <property fmtid="{D5CDD505-2E9C-101B-9397-08002B2CF9AE}" pid="13" name="USNAME">
    <vt:lpwstr> </vt:lpwstr>
  </property>
  <property fmtid="{D5CDD505-2E9C-101B-9397-08002B2CF9AE}" pid="14" name="DTCOUNTER">
    <vt:lpwstr>866366</vt:lpwstr>
  </property>
  <property fmtid="{D5CDD505-2E9C-101B-9397-08002B2CF9AE}" pid="15" name="תאריך הנחה">
    <vt:lpwstr>03/21/2016</vt:lpwstr>
  </property>
  <property fmtid="{D5CDD505-2E9C-101B-9397-08002B2CF9AE}" pid="16" name="PLACE_DATE">
    <vt:lpwstr>21/03/2016 00:00:00</vt:lpwstr>
  </property>
  <property fmtid="{D5CDD505-2E9C-101B-9397-08002B2CF9AE}" pid="17" name="VAADA">
    <vt:lpwstr/>
  </property>
  <property fmtid="{D5CDD505-2E9C-101B-9397-08002B2CF9AE}" pid="18" name="YOZEMHATZAA_CHAKLIST">
    <vt:lpwstr>חמד עמאר, אביגדור ליברמן, רוברט אילטוב, סופה לנדבר, אורלי לוי אבקסיס, עודד פורר, ישראל אייכלר, יואב בן צור, אמיר אוחנה, קארין אלהרר, מרדכי יוגב, אורי מקלב, אלי אלאלוף</vt:lpwstr>
  </property>
  <property fmtid="{D5CDD505-2E9C-101B-9397-08002B2CF9AE}" pid="19" name="YOZEMID">
    <vt:lpwstr>000012938, 000000427, 000004412, 000000448, 000012952, 000030309, 000001057, 000028513, 000030369, 000023631, 000023534, 000011835, 000030078</vt:lpwstr>
  </property>
  <property fmtid="{D5CDD505-2E9C-101B-9397-08002B2CF9AE}" pid="20" name="PROPOSER">
    <vt:lpwstr/>
  </property>
  <property fmtid="{D5CDD505-2E9C-101B-9397-08002B2CF9AE}" pid="21" name="PROPOSERID">
    <vt:lpwstr/>
  </property>
  <property fmtid="{D5CDD505-2E9C-101B-9397-08002B2CF9AE}" pid="22" name="MISHATZAATCHOK">
    <vt:lpwstr>פ/2817/20</vt:lpwstr>
  </property>
</Properties>
</file>